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仿宋" w:eastAsia="方正小标宋简体"/>
          <w:color w:val="auto"/>
          <w:sz w:val="36"/>
          <w:szCs w:val="36"/>
        </w:rPr>
      </w:pPr>
      <w:r>
        <w:rPr>
          <w:rFonts w:hint="eastAsia" w:ascii="方正小标宋简体" w:hAnsi="仿宋" w:eastAsia="方正小标宋简体"/>
          <w:color w:val="auto"/>
          <w:sz w:val="36"/>
          <w:szCs w:val="36"/>
        </w:rPr>
        <w:t>一、职业规划比赛规则</w:t>
      </w:r>
    </w:p>
    <w:p>
      <w:pPr>
        <w:spacing w:line="560" w:lineRule="exact"/>
        <w:jc w:val="center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 xml:space="preserve"> </w:t>
      </w:r>
    </w:p>
    <w:p>
      <w:pPr>
        <w:autoSpaceDE w:val="0"/>
        <w:spacing w:line="560" w:lineRule="exact"/>
        <w:ind w:firstLine="64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职业规划比赛分为书面作品评审、职业角色情景模拟、PPT现场展示与问答三个环节。</w:t>
      </w:r>
    </w:p>
    <w:p>
      <w:pPr>
        <w:numPr>
          <w:ilvl w:val="0"/>
          <w:numId w:val="1"/>
        </w:numPr>
        <w:autoSpaceDE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书面作品分为《职业生涯规划设计书》和《职业生涯人物访谈报告》两个部分，分别占总分的20%和15%。要求提交普通Ａ4纸黑色打印稿和电子稿。</w:t>
      </w:r>
    </w:p>
    <w:p>
      <w:pPr>
        <w:numPr>
          <w:ilvl w:val="0"/>
          <w:numId w:val="2"/>
        </w:numPr>
        <w:autoSpaceDE w:val="0"/>
        <w:spacing w:line="560" w:lineRule="exact"/>
        <w:ind w:firstLine="64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《职业生涯规划设计书》须以参赛选手本人的职业规划为主题，涵盖自我认知、职业认知、职业目标与路径设计、实施计划等内容，适当运用人才测评工具（推荐选用职迈网测评系统），以及社会实践和相关社会活动为论据，体现未来就业目标和人生价值，每位选手只需选定1个职业目标。</w:t>
      </w:r>
    </w:p>
    <w:p>
      <w:pPr>
        <w:autoSpaceDE w:val="0"/>
        <w:spacing w:line="560" w:lineRule="exact"/>
        <w:ind w:firstLine="64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２、《职业生涯人物访谈报告》由参赛选手结合自身的职业规划目标和就业倾向，与同类职位的职场人士进行生涯访谈后总结成文。报告要体现受访人的单位和个人简介，访问的时间、地点、参与人员等基本要素，列出访谈提纲，确定访谈重点。报告要重点突出选手对于目标职业的直观体会和理性思考，以及访谈结果对于职业规划的正向反馈和修正作用。字数控制在2000字以内。</w:t>
      </w:r>
    </w:p>
    <w:p>
      <w:pPr>
        <w:numPr>
          <w:ilvl w:val="0"/>
          <w:numId w:val="1"/>
        </w:numPr>
        <w:autoSpaceDE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职业角色情景模拟，占总分的15%。要求选手自编时长3分钟以内的情景剧，以播放视频的方式呈现（统一采用AVI或MPEG格式）。由本人扮演职业规划作品中的目标职业角色。如有必要，可以邀请２至３名协助人员参演。情景设定要紧扣规划的目标职业，体现职业特点和履职要求，展现选手的职业能力和性格特质。 </w:t>
      </w:r>
    </w:p>
    <w:p>
      <w:pPr>
        <w:numPr>
          <w:ilvl w:val="0"/>
          <w:numId w:val="1"/>
        </w:numPr>
        <w:autoSpaceDE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PPT现场展示与问答，分别占总分值的40%和10%。要求通过PPT演示，对职业生涯规划设计书进行陈述。借助理论讲解和案例展现等形式，表现选手的综合素质，阐明职业规划的合理性、实用性和可操作性,PPT陈述时长控制在8分钟内，问答控制在3分钟以内。</w:t>
      </w:r>
    </w:p>
    <w:p>
      <w:pPr>
        <w:tabs>
          <w:tab w:val="left" w:pos="4980"/>
        </w:tabs>
        <w:spacing w:line="560" w:lineRule="exact"/>
        <w:jc w:val="left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br w:type="page"/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二</w:t>
      </w:r>
      <w:r>
        <w:rPr>
          <w:rFonts w:hint="eastAsia" w:ascii="方正小标宋简体" w:hAnsi="仿宋" w:eastAsia="方正小标宋简体"/>
          <w:sz w:val="36"/>
          <w:szCs w:val="36"/>
        </w:rPr>
        <w:t>、《职业生涯规划设计书》评分标准</w:t>
      </w:r>
    </w:p>
    <w:p>
      <w:pPr>
        <w:autoSpaceDE w:val="0"/>
        <w:spacing w:line="500" w:lineRule="exact"/>
        <w:ind w:firstLine="1050" w:firstLineChars="500"/>
        <w:jc w:val="center"/>
        <w:rPr>
          <w:rFonts w:ascii="方正黑体_GBK" w:hAnsi="宋体" w:eastAsia="方正黑体_GBK" w:cs="宋体"/>
          <w:kern w:val="0"/>
          <w:szCs w:val="32"/>
        </w:rPr>
      </w:pPr>
      <w:r>
        <w:rPr>
          <w:rFonts w:hint="eastAsia" w:ascii="方正黑体_GBK" w:hAnsi="宋体" w:eastAsia="方正黑体_GBK" w:cs="宋体"/>
          <w:kern w:val="0"/>
        </w:rPr>
        <w:t xml:space="preserve"> </w:t>
      </w:r>
    </w:p>
    <w:tbl>
      <w:tblPr>
        <w:tblStyle w:val="6"/>
        <w:tblW w:w="140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785"/>
        <w:gridCol w:w="109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评分要素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评分要点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具体描述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职  业</w:t>
            </w:r>
          </w:p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规  划</w:t>
            </w:r>
          </w:p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设计书</w:t>
            </w:r>
          </w:p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内  容</w:t>
            </w:r>
          </w:p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(70分）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自我认知</w:t>
            </w:r>
          </w:p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（15分）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1．从个人兴趣爱好、成长经历、社会实践中全面客观分析自我，能清楚的认识到自己的优势和劣势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ind w:left="315" w:hanging="315" w:hangingChars="1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2．综合运用各类人才测评工具，评估自己的个性特征、职业兴趣、职业能力、行为风格、价值观等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职业认知</w:t>
            </w:r>
          </w:p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（15分）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1．了解社会的整体就业趋势与大学生就业状况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2．对目标行业发展前景、现状及就业需求有清晰的了解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3．熟悉目标职业的工作内容、环境和典型生活方式，了解目标职业的待遇及发展趋势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ind w:left="210" w:hanging="210" w:hangingChars="1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4．了解目标职业的准入资格、胜任标准、发展路径以及对家庭、生活等方面的影响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5．职业道德阐释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职业目标</w:t>
            </w:r>
          </w:p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路径设计</w:t>
            </w:r>
          </w:p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（20分）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ind w:left="315" w:hanging="315" w:hangingChars="1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1．职业目标确定和发展路径设计要符合外部环境和个人特质（兴趣、技能、性格、价值观），要符合实际，有可行性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2．职业发展路径符合逻辑和现实、对实习目标而言具有可操作性和竞争力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3．要用长远的眼光设定职业目标，并将总目标划分成几个阶段性目标来实现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规划与计划实施</w:t>
            </w:r>
          </w:p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（20分）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1．行动计划清晰、可操作性强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2．行动计划对保持个人优势、全面提升个人竞争力有针对性、可操作性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3．近期计划详尽、中期计划清晰并具有灵活性、长期计划具有方向性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评分要素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评分要点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具体描述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参赛作品</w:t>
            </w:r>
          </w:p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设计思路</w:t>
            </w:r>
          </w:p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（30分）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作品完整性</w:t>
            </w:r>
          </w:p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（10分）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ind w:firstLine="210" w:firstLineChars="1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内容完整，对自我和外部环境进行全面分析，提出自己的职业目标、发展路径和行动计划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作品思路和逻辑</w:t>
            </w:r>
          </w:p>
          <w:p>
            <w:pPr>
              <w:autoSpaceDE w:val="0"/>
              <w:spacing w:line="500" w:lineRule="exact"/>
              <w:ind w:firstLine="420" w:firstLineChars="20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（10分）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ind w:firstLine="210" w:firstLineChars="1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职业规划设计报告思路清晰、逻辑合理，能准确把握职业规划设计的核心与关键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ind w:firstLine="210" w:firstLineChars="10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作品美观性</w:t>
            </w:r>
          </w:p>
          <w:p>
            <w:pPr>
              <w:autoSpaceDE w:val="0"/>
              <w:spacing w:line="500" w:lineRule="exact"/>
              <w:ind w:firstLine="420" w:firstLineChars="20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（10分）</w:t>
            </w:r>
          </w:p>
        </w:tc>
        <w:tc>
          <w:tcPr>
            <w:tcW w:w="10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ind w:firstLine="210" w:firstLineChars="1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格式清晰，版面大方美观，创意新颖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spacing w:val="-20"/>
          <w:sz w:val="44"/>
          <w:szCs w:val="44"/>
        </w:rPr>
        <w:sectPr>
          <w:headerReference r:id="rId3" w:type="first"/>
          <w:footerReference r:id="rId5" w:type="first"/>
          <w:footerReference r:id="rId4" w:type="default"/>
          <w:pgSz w:w="16838" w:h="11906" w:orient="landscape"/>
          <w:pgMar w:top="1134" w:right="1134" w:bottom="1134" w:left="1134" w:header="720" w:footer="720" w:gutter="0"/>
          <w:pgNumType w:fmt="numberInDash"/>
          <w:cols w:space="720" w:num="1"/>
          <w:titlePg/>
          <w:docGrid w:type="lines" w:linePitch="438" w:charSpace="0"/>
        </w:sect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仿宋" w:eastAsia="方正小标宋简体"/>
          <w:sz w:val="36"/>
          <w:szCs w:val="36"/>
        </w:rPr>
        <w:t>、职业人物访谈报告</w:t>
      </w:r>
    </w:p>
    <w:p>
      <w:pPr>
        <w:spacing w:line="400" w:lineRule="exact"/>
        <w:jc w:val="center"/>
        <w:textAlignment w:val="baseline"/>
        <w:rPr>
          <w:rFonts w:eastAsia="方正小标宋简体"/>
          <w:spacing w:val="-20"/>
          <w:sz w:val="44"/>
          <w:szCs w:val="44"/>
        </w:rPr>
      </w:pPr>
      <w:r>
        <w:rPr>
          <w:rFonts w:eastAsia="方正小标宋简体"/>
          <w:spacing w:val="-20"/>
          <w:sz w:val="44"/>
          <w:szCs w:val="44"/>
        </w:rPr>
        <w:t xml:space="preserve"> </w:t>
      </w:r>
    </w:p>
    <w:tbl>
      <w:tblPr>
        <w:tblStyle w:val="6"/>
        <w:tblW w:w="84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577"/>
        <w:gridCol w:w="1559"/>
        <w:gridCol w:w="2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目标职业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  业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访谈时间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访谈单位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280" w:firstLineChars="1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受访人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 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访谈提纲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访谈重点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访谈感悟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（2000字以内，可另附页）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访谈成果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单位意见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592" w:firstLineChars="164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3920" w:firstLineChars="14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受访人签字：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  <w:p>
            <w:pPr>
              <w:spacing w:line="320" w:lineRule="exact"/>
              <w:ind w:firstLine="4760" w:firstLineChars="17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（单位盖章）</w:t>
            </w:r>
          </w:p>
          <w:p>
            <w:pPr>
              <w:spacing w:line="240" w:lineRule="atLeas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年  月  日</w:t>
            </w:r>
          </w:p>
        </w:tc>
      </w:tr>
    </w:tbl>
    <w:p>
      <w:pPr>
        <w:spacing w:line="240" w:lineRule="atLeast"/>
        <w:jc w:val="center"/>
        <w:rPr>
          <w:rFonts w:ascii="仿宋_GB2312" w:hAnsi="宋体" w:eastAsia="仿宋_GB2312"/>
          <w:sz w:val="28"/>
          <w:szCs w:val="28"/>
        </w:rPr>
        <w:sectPr>
          <w:pgSz w:w="11906" w:h="16838"/>
          <w:pgMar w:top="1440" w:right="1803" w:bottom="1440" w:left="1803" w:header="720" w:footer="720" w:gutter="0"/>
          <w:pgNumType w:fmt="numberInDash"/>
          <w:cols w:space="720" w:num="1"/>
          <w:titlePg/>
          <w:docGrid w:type="lines" w:linePitch="436" w:charSpace="0"/>
        </w:sectPr>
      </w:pPr>
      <w:r>
        <w:rPr>
          <w:rFonts w:hint="eastAsia" w:ascii="仿宋_GB2312" w:hAnsi="宋体" w:eastAsia="仿宋_GB2312"/>
          <w:sz w:val="28"/>
          <w:szCs w:val="28"/>
        </w:rPr>
        <w:t xml:space="preserve"> 注：访谈成果，重点表述访谈对于原职业规划的反馈及修正作用。</w:t>
      </w:r>
    </w:p>
    <w:p>
      <w:pPr>
        <w:spacing w:line="560" w:lineRule="exact"/>
        <w:jc w:val="center"/>
        <w:rPr>
          <w:rFonts w:ascii="方正小标宋_GBK" w:hAnsi="仿宋" w:eastAsia="方正小标宋_GBK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hAnsi="仿宋" w:eastAsia="方正小标宋简体"/>
          <w:sz w:val="36"/>
          <w:szCs w:val="36"/>
        </w:rPr>
        <w:t>、职业角色情景模拟评分标准表</w:t>
      </w:r>
    </w:p>
    <w:p>
      <w:pPr>
        <w:spacing w:line="580" w:lineRule="exac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 </w:t>
      </w:r>
    </w:p>
    <w:tbl>
      <w:tblPr>
        <w:tblStyle w:val="6"/>
        <w:tblW w:w="922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3"/>
        <w:gridCol w:w="6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评分要点</w:t>
            </w:r>
          </w:p>
        </w:tc>
        <w:tc>
          <w:tcPr>
            <w:tcW w:w="6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情景设计（20分）</w:t>
            </w:r>
          </w:p>
        </w:tc>
        <w:tc>
          <w:tcPr>
            <w:tcW w:w="6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情景设计逼真、道具使用合理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模拟内容及效果</w:t>
            </w:r>
          </w:p>
          <w:p>
            <w:pPr>
              <w:spacing w:line="58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（40分）</w:t>
            </w:r>
          </w:p>
        </w:tc>
        <w:tc>
          <w:tcPr>
            <w:tcW w:w="6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职业模拟真实感强，显现职场精彩亮点、内容和表现力丰富，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基本素质（20分）</w:t>
            </w:r>
          </w:p>
        </w:tc>
        <w:tc>
          <w:tcPr>
            <w:tcW w:w="6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衣着整洁，仪表端庄，谈吐文雅，精神饱满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个人特色（20分）</w:t>
            </w:r>
          </w:p>
        </w:tc>
        <w:tc>
          <w:tcPr>
            <w:tcW w:w="6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职业符合自身鲜明特点，具有创造性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 </w:t>
            </w:r>
          </w:p>
        </w:tc>
      </w:tr>
    </w:tbl>
    <w:p>
      <w:pPr>
        <w:spacing w:line="580" w:lineRule="exact"/>
        <w:rPr>
          <w:rFonts w:ascii="仿宋" w:hAnsi="仿宋" w:eastAsia="仿宋"/>
          <w:kern w:val="0"/>
          <w:sz w:val="30"/>
          <w:szCs w:val="30"/>
        </w:rPr>
        <w:sectPr>
          <w:pgSz w:w="11906" w:h="16838"/>
          <w:pgMar w:top="1440" w:right="1803" w:bottom="1440" w:left="1803" w:header="720" w:footer="720" w:gutter="0"/>
          <w:pgNumType w:fmt="numberInDash"/>
          <w:cols w:space="720" w:num="1"/>
          <w:titlePg/>
          <w:docGrid w:type="lines" w:linePitch="436" w:charSpace="0"/>
        </w:sectPr>
      </w:pPr>
      <w:r>
        <w:rPr>
          <w:rFonts w:hint="eastAsia" w:ascii="仿宋" w:hAnsi="仿宋" w:eastAsia="仿宋"/>
          <w:kern w:val="0"/>
          <w:sz w:val="30"/>
          <w:szCs w:val="30"/>
        </w:rPr>
        <w:t xml:space="preserve"> 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五</w:t>
      </w:r>
      <w:r>
        <w:rPr>
          <w:rFonts w:hint="eastAsia" w:ascii="方正小标宋简体" w:hAnsi="仿宋" w:eastAsia="方正小标宋简体"/>
          <w:sz w:val="36"/>
          <w:szCs w:val="36"/>
        </w:rPr>
        <w:t>、职业规划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比赛</w:t>
      </w:r>
      <w:r>
        <w:rPr>
          <w:rFonts w:hint="eastAsia" w:ascii="方正小标宋简体" w:hAnsi="仿宋" w:eastAsia="方正小标宋简体"/>
          <w:sz w:val="36"/>
          <w:szCs w:val="36"/>
        </w:rPr>
        <w:t>PPT现场展示评分标准</w:t>
      </w:r>
    </w:p>
    <w:p>
      <w:pPr>
        <w:spacing w:line="580" w:lineRule="exact"/>
        <w:jc w:val="center"/>
        <w:rPr>
          <w:rFonts w:ascii="仿宋" w:hAnsi="仿宋" w:eastAsia="仿宋"/>
          <w:spacing w:val="-20"/>
          <w:sz w:val="30"/>
          <w:szCs w:val="30"/>
        </w:rPr>
      </w:pPr>
      <w:r>
        <w:rPr>
          <w:rFonts w:hint="eastAsia" w:ascii="仿宋" w:hAnsi="仿宋" w:eastAsia="仿宋"/>
          <w:spacing w:val="-20"/>
          <w:sz w:val="30"/>
          <w:szCs w:val="30"/>
        </w:rPr>
        <w:t xml:space="preserve"> </w:t>
      </w:r>
    </w:p>
    <w:tbl>
      <w:tblPr>
        <w:tblStyle w:val="6"/>
        <w:tblW w:w="976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422"/>
        <w:gridCol w:w="66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 xml:space="preserve"> 评分要素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评分要点</w:t>
            </w: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Cs/>
                <w:sz w:val="30"/>
                <w:szCs w:val="30"/>
              </w:rPr>
              <w:t>具体描述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7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主题陈述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（100分）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基本素养（20分）</w:t>
            </w: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1.仪表端庄稳重、朴素，社交礼仪大方得体，表情丰富真诚，有良好的个人气质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2.言之有理，谈吐文雅，富于思想内涵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bookmarkStart w:id="0" w:name="OLE_LINK1"/>
            <w:r>
              <w:rPr>
                <w:rFonts w:hint="eastAsia" w:ascii="仿宋_GB2312" w:hAnsi="仿宋" w:eastAsia="仿宋_GB2312"/>
                <w:sz w:val="30"/>
                <w:szCs w:val="30"/>
              </w:rPr>
              <w:t>3</w:t>
            </w:r>
            <w:bookmarkEnd w:id="0"/>
            <w:r>
              <w:rPr>
                <w:rFonts w:hint="eastAsia" w:ascii="仿宋_GB2312" w:hAnsi="仿宋" w:eastAsia="仿宋_GB2312"/>
                <w:sz w:val="30"/>
                <w:szCs w:val="30"/>
              </w:rPr>
              <w:t>.精神饱满，有信心，有独立见解，能充分展现大学生朝气蓬勃的精神风貌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陈述内容</w:t>
            </w:r>
          </w:p>
          <w:p>
            <w:pPr>
              <w:spacing w:before="100" w:beforeAutospacing="1" w:after="100" w:afterAutospacing="1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（50分）</w:t>
            </w: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1.对职业规划的自我探索、职业探索、决策应对等环节的要素及分析过程陈述全面、客观、准确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2.在陈述中能够正确理解、应用职业规划基本理论及各项辅助工具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3.对各探索分析过程及结果表述准确，且与作品吻合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4.简明扼要，条理清晰，结论明确，能够准确提炼职业规划设计作品的主要内容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即时效果</w:t>
            </w:r>
          </w:p>
          <w:p>
            <w:pPr>
              <w:spacing w:before="100" w:beforeAutospacing="1" w:after="100" w:afterAutospacing="1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（30分）</w:t>
            </w: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1.按时完成主题陈述，思路清晰，措辞恰当，表达自然、流畅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1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6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2.有感染力，能吸引评委注意力，调动观众情绪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kern w:val="0"/>
          <w:sz w:val="44"/>
          <w:szCs w:val="44"/>
        </w:rPr>
        <w:sectPr>
          <w:pgSz w:w="11906" w:h="16838"/>
          <w:pgMar w:top="1440" w:right="1803" w:bottom="1440" w:left="1803" w:header="720" w:footer="720" w:gutter="0"/>
          <w:pgNumType w:fmt="numberInDash"/>
          <w:cols w:space="720" w:num="1"/>
          <w:titlePg/>
          <w:docGrid w:type="lines" w:linePitch="436" w:charSpace="0"/>
        </w:sectPr>
      </w:pPr>
    </w:p>
    <w:p>
      <w:pPr>
        <w:widowControl/>
        <w:autoSpaceDE w:val="0"/>
        <w:spacing w:line="500" w:lineRule="exact"/>
        <w:jc w:val="center"/>
        <w:rPr>
          <w:rFonts w:ascii="方正小标宋简体" w:hAnsi="仿宋" w:eastAsia="方正小标宋简体"/>
          <w:b/>
          <w:bCs/>
          <w:sz w:val="36"/>
          <w:szCs w:val="36"/>
        </w:rPr>
      </w:pPr>
      <w:r>
        <w:rPr>
          <w:rFonts w:hint="eastAsia" w:ascii="方正小标宋简体" w:hAnsi="仿宋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仿宋" w:eastAsia="方正小标宋简体"/>
          <w:kern w:val="0"/>
          <w:sz w:val="36"/>
          <w:szCs w:val="36"/>
          <w:lang w:val="en-US" w:eastAsia="zh-CN"/>
        </w:rPr>
        <w:t>六</w:t>
      </w:r>
      <w:r>
        <w:rPr>
          <w:rFonts w:hint="eastAsia" w:ascii="方正小标宋简体" w:hAnsi="仿宋" w:eastAsia="方正小标宋简体"/>
          <w:kern w:val="0"/>
          <w:sz w:val="36"/>
          <w:szCs w:val="36"/>
        </w:rPr>
        <w:t>、职业规划</w:t>
      </w:r>
      <w:r>
        <w:rPr>
          <w:rFonts w:hint="eastAsia" w:ascii="方正小标宋简体" w:hAnsi="仿宋" w:eastAsia="方正小标宋简体"/>
          <w:kern w:val="0"/>
          <w:sz w:val="36"/>
          <w:szCs w:val="36"/>
          <w:lang w:val="en-US" w:eastAsia="zh-CN"/>
        </w:rPr>
        <w:t>比赛</w:t>
      </w:r>
      <w:r>
        <w:rPr>
          <w:rFonts w:hint="eastAsia" w:ascii="方正小标宋简体" w:hAnsi="仿宋" w:eastAsia="方正小标宋简体"/>
          <w:kern w:val="0"/>
          <w:sz w:val="36"/>
          <w:szCs w:val="36"/>
        </w:rPr>
        <w:t>评分表</w:t>
      </w:r>
    </w:p>
    <w:p>
      <w:pPr>
        <w:autoSpaceDE w:val="0"/>
        <w:spacing w:line="200" w:lineRule="exact"/>
        <w:jc w:val="left"/>
        <w:rPr>
          <w:rFonts w:ascii="仿宋" w:hAnsi="仿宋" w:eastAsia="仿宋"/>
          <w:kern w:val="0"/>
          <w:szCs w:val="32"/>
        </w:rPr>
      </w:pPr>
      <w:r>
        <w:rPr>
          <w:rFonts w:hint="eastAsia" w:ascii="仿宋" w:hAnsi="仿宋" w:eastAsia="仿宋"/>
          <w:kern w:val="0"/>
        </w:rPr>
        <w:t xml:space="preserve">   </w:t>
      </w:r>
    </w:p>
    <w:p>
      <w:pPr>
        <w:autoSpaceDE w:val="0"/>
        <w:spacing w:line="500" w:lineRule="exact"/>
        <w:ind w:firstLine="720" w:firstLineChars="200"/>
        <w:jc w:val="lef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6"/>
          <w:szCs w:val="36"/>
        </w:rPr>
        <w:t xml:space="preserve">  </w:t>
      </w: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选手编号： </w:t>
      </w:r>
    </w:p>
    <w:tbl>
      <w:tblPr>
        <w:tblStyle w:val="6"/>
        <w:tblW w:w="12860" w:type="dxa"/>
        <w:tblInd w:w="9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2"/>
        <w:gridCol w:w="2655"/>
        <w:gridCol w:w="2354"/>
        <w:gridCol w:w="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项目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评委打分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（百分制）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得分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（加权后）</w:t>
            </w:r>
          </w:p>
        </w:tc>
        <w:tc>
          <w:tcPr>
            <w:tcW w:w="3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《职业生涯规划设计书》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  <w:tc>
          <w:tcPr>
            <w:tcW w:w="3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占比赛成绩的20%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《职业人物访谈报告》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  <w:tc>
          <w:tcPr>
            <w:tcW w:w="3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占比赛成绩的15%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职业角色情景模拟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  <w:tc>
          <w:tcPr>
            <w:tcW w:w="3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占比赛成绩的15%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PPT现场展示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  <w:tc>
          <w:tcPr>
            <w:tcW w:w="3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占比赛成绩的40%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现场问答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  <w:tc>
          <w:tcPr>
            <w:tcW w:w="3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占比赛成绩的10%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最终得分</w:t>
            </w:r>
          </w:p>
        </w:tc>
        <w:tc>
          <w:tcPr>
            <w:tcW w:w="87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vanish/>
          <w:sz w:val="32"/>
          <w:szCs w:val="32"/>
        </w:rPr>
      </w:pPr>
    </w:p>
    <w:p>
      <w:pPr>
        <w:rPr>
          <w:rFonts w:ascii="仿宋_GB2312" w:eastAsia="仿宋_GB2312"/>
          <w:vanish/>
          <w:sz w:val="32"/>
          <w:szCs w:val="32"/>
        </w:rPr>
      </w:pPr>
    </w:p>
    <w:p>
      <w:pPr>
        <w:autoSpaceDE w:val="0"/>
        <w:spacing w:line="500" w:lineRule="exact"/>
        <w:ind w:firstLine="960" w:firstLineChars="300"/>
        <w:jc w:val="left"/>
        <w:rPr>
          <w:rFonts w:ascii="仿宋" w:hAnsi="仿宋" w:eastAsia="仿宋"/>
          <w:kern w:val="0"/>
          <w:sz w:val="30"/>
          <w:szCs w:val="30"/>
        </w:rPr>
        <w:sectPr>
          <w:pgSz w:w="16838" w:h="11906" w:orient="landscape"/>
          <w:pgMar w:top="1803" w:right="1440" w:bottom="1803" w:left="1440" w:header="720" w:footer="720" w:gutter="0"/>
          <w:pgNumType w:fmt="numberInDash"/>
          <w:cols w:space="720" w:num="1"/>
          <w:titlePg/>
          <w:docGrid w:type="lines" w:linePitch="436" w:charSpace="0"/>
        </w:sectPr>
      </w:pPr>
      <w:r>
        <w:rPr>
          <w:rFonts w:hint="eastAsia" w:ascii="仿宋_GB2312" w:hAnsi="仿宋" w:eastAsia="仿宋_GB2312"/>
          <w:kern w:val="0"/>
          <w:sz w:val="32"/>
          <w:szCs w:val="32"/>
        </w:rPr>
        <w:t>评委签名：</w:t>
      </w:r>
    </w:p>
    <w:p>
      <w:pPr>
        <w:spacing w:line="580" w:lineRule="exact"/>
        <w:rPr>
          <w:rFonts w:ascii="方正小标宋简体" w:hAnsi="仿宋" w:eastAsia="方正小标宋简体"/>
          <w:sz w:val="36"/>
          <w:szCs w:val="36"/>
        </w:rPr>
      </w:pPr>
      <w:bookmarkStart w:id="1" w:name="_GoBack"/>
      <w:bookmarkEnd w:id="1"/>
    </w:p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8388325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15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45915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5B960"/>
    <w:multiLevelType w:val="singleLevel"/>
    <w:tmpl w:val="B2B5B960"/>
    <w:lvl w:ilvl="0" w:tentative="0">
      <w:start w:val="1"/>
      <w:numFmt w:val="decimalFullWidth"/>
      <w:suff w:val="nothing"/>
      <w:lvlText w:val="%1、"/>
      <w:lvlJc w:val="left"/>
      <w:rPr>
        <w:rFonts w:hint="eastAsia"/>
      </w:rPr>
    </w:lvl>
  </w:abstractNum>
  <w:abstractNum w:abstractNumId="1">
    <w:nsid w:val="0A4C4782"/>
    <w:multiLevelType w:val="multilevel"/>
    <w:tmpl w:val="0A4C478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6E"/>
    <w:rsid w:val="000120CF"/>
    <w:rsid w:val="000407F6"/>
    <w:rsid w:val="00054995"/>
    <w:rsid w:val="000651F5"/>
    <w:rsid w:val="00084AD5"/>
    <w:rsid w:val="000B5963"/>
    <w:rsid w:val="00154F98"/>
    <w:rsid w:val="001B13C4"/>
    <w:rsid w:val="002437B3"/>
    <w:rsid w:val="00244BD5"/>
    <w:rsid w:val="0025684E"/>
    <w:rsid w:val="00281AA7"/>
    <w:rsid w:val="002A63FB"/>
    <w:rsid w:val="002C26E8"/>
    <w:rsid w:val="002F1F1B"/>
    <w:rsid w:val="00374434"/>
    <w:rsid w:val="00391A6E"/>
    <w:rsid w:val="00391AC5"/>
    <w:rsid w:val="00395D7E"/>
    <w:rsid w:val="003C58FB"/>
    <w:rsid w:val="004311E9"/>
    <w:rsid w:val="004653D6"/>
    <w:rsid w:val="00471D46"/>
    <w:rsid w:val="004B37E0"/>
    <w:rsid w:val="004B5040"/>
    <w:rsid w:val="004D1B72"/>
    <w:rsid w:val="004E2D9C"/>
    <w:rsid w:val="004F1B63"/>
    <w:rsid w:val="0050720D"/>
    <w:rsid w:val="005667DD"/>
    <w:rsid w:val="00594932"/>
    <w:rsid w:val="005A68A6"/>
    <w:rsid w:val="005B730D"/>
    <w:rsid w:val="005C61BE"/>
    <w:rsid w:val="005D0D0D"/>
    <w:rsid w:val="00601F33"/>
    <w:rsid w:val="00612066"/>
    <w:rsid w:val="00672023"/>
    <w:rsid w:val="00692CB8"/>
    <w:rsid w:val="006A4EF9"/>
    <w:rsid w:val="006C44BD"/>
    <w:rsid w:val="006D5043"/>
    <w:rsid w:val="006D7879"/>
    <w:rsid w:val="006E6535"/>
    <w:rsid w:val="007673FF"/>
    <w:rsid w:val="00780508"/>
    <w:rsid w:val="007A408A"/>
    <w:rsid w:val="007B3B5C"/>
    <w:rsid w:val="007C32F7"/>
    <w:rsid w:val="007E36FC"/>
    <w:rsid w:val="0082338B"/>
    <w:rsid w:val="00826C76"/>
    <w:rsid w:val="00833D40"/>
    <w:rsid w:val="00851759"/>
    <w:rsid w:val="008828BB"/>
    <w:rsid w:val="00892A5E"/>
    <w:rsid w:val="008943D9"/>
    <w:rsid w:val="008B1677"/>
    <w:rsid w:val="008C04E3"/>
    <w:rsid w:val="008D648A"/>
    <w:rsid w:val="008F3E87"/>
    <w:rsid w:val="00934472"/>
    <w:rsid w:val="009616DB"/>
    <w:rsid w:val="00984DB4"/>
    <w:rsid w:val="009A746B"/>
    <w:rsid w:val="009C507C"/>
    <w:rsid w:val="00A207D7"/>
    <w:rsid w:val="00A22731"/>
    <w:rsid w:val="00A650A7"/>
    <w:rsid w:val="00AC1B6E"/>
    <w:rsid w:val="00AE67D8"/>
    <w:rsid w:val="00B5313F"/>
    <w:rsid w:val="00B8113D"/>
    <w:rsid w:val="00B835DD"/>
    <w:rsid w:val="00B96C06"/>
    <w:rsid w:val="00BB7497"/>
    <w:rsid w:val="00C13745"/>
    <w:rsid w:val="00C531BC"/>
    <w:rsid w:val="00C912F3"/>
    <w:rsid w:val="00CA71BE"/>
    <w:rsid w:val="00CD6353"/>
    <w:rsid w:val="00CF6672"/>
    <w:rsid w:val="00D01154"/>
    <w:rsid w:val="00D42FA2"/>
    <w:rsid w:val="00D502CE"/>
    <w:rsid w:val="00D51FD0"/>
    <w:rsid w:val="00D57B86"/>
    <w:rsid w:val="00DB628C"/>
    <w:rsid w:val="00DE76DC"/>
    <w:rsid w:val="00E3659A"/>
    <w:rsid w:val="00E621ED"/>
    <w:rsid w:val="00EB24DA"/>
    <w:rsid w:val="00EE68C5"/>
    <w:rsid w:val="00F039ED"/>
    <w:rsid w:val="00F14778"/>
    <w:rsid w:val="00F24BD4"/>
    <w:rsid w:val="00F35092"/>
    <w:rsid w:val="00FA2E48"/>
    <w:rsid w:val="2FB33CD2"/>
    <w:rsid w:val="58022AED"/>
    <w:rsid w:val="581D69D6"/>
    <w:rsid w:val="6686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unhideWhenUsed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脚 Char"/>
    <w:link w:val="3"/>
    <w:uiPriority w:val="99"/>
    <w:rPr>
      <w:rFonts w:eastAsia="仿宋_GB2312"/>
      <w:sz w:val="18"/>
    </w:rPr>
  </w:style>
  <w:style w:type="character" w:customStyle="1" w:styleId="13">
    <w:name w:val="页脚 字符1"/>
    <w:basedOn w:val="7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61ADA9-0A07-478D-931A-589F5DD334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681</Words>
  <Characters>3882</Characters>
  <Lines>32</Lines>
  <Paragraphs>9</Paragraphs>
  <TotalTime>267</TotalTime>
  <ScaleCrop>false</ScaleCrop>
  <LinksUpToDate>false</LinksUpToDate>
  <CharactersWithSpaces>4554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2018-08-21T03:26:00Z</dcterms:created>
  <dc:creator>fanpengfei</dc:creator>
  <cp:lastModifiedBy>徐美波</cp:lastModifiedBy>
  <cp:lastPrinted>2018-09-17T02:46:00Z</cp:lastPrinted>
  <dcterms:modified xsi:type="dcterms:W3CDTF">2019-05-13T07:41:51Z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